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4B2E7E" w:val="clear"/>
            <w:tcMar>
              <w:top w:type="dxa" w:w="160"/>
              <w:left w:type="dxa" w:w="200"/>
              <w:bottom w:type="dxa" w:w="160"/>
              <w:right w:type="dxa" w:w="200"/>
            </w:tcMar>
          </w:tcPr>
          <w:p>
            <w:pPr>
              <w:jc w:val="left"/>
            </w:pPr>
            <w:r>
              <w:rPr>
                <w:rFonts w:ascii="Trebuchet MS" w:cs="Trebuchet MS" w:eastAsia="Trebuchet MS" w:hAnsi="Trebuchet MS"/>
                <w:b/>
                <w:bCs/>
                <w:color w:val="FFFFFF"/>
                <w:sz w:val="18"/>
                <w:szCs w:val="18"/>
              </w:rPr>
              <w:t xml:space="preserve">NCFE Level 2 Certificate in Understanding Coding  —  Unit 05: Communication &amp; Project Management</w:t>
            </w:r>
          </w:p>
        </w:tc>
      </w:tr>
    </w:tbl>
    <w:p>
      <w:pPr>
        <w:spacing w:after="60"/>
      </w:pPr>
    </w:p>
    <w:p>
      <w:pPr>
        <w:spacing w:after="60"/>
      </w:pPr>
      <w:r>
        <w:rPr>
          <w:rFonts w:ascii="Trebuchet MS" w:cs="Trebuchet MS" w:eastAsia="Trebuchet MS" w:hAnsi="Trebuchet MS"/>
          <w:b/>
          <w:bCs/>
          <w:color w:val="4B2E7E"/>
          <w:sz w:val="28"/>
          <w:szCs w:val="28"/>
        </w:rPr>
        <w:t xml:space="preserve">Lesson 02: Choosing the Right Method</w:t>
      </w:r>
    </w:p>
    <w:p>
      <w:pPr>
        <w:spacing w:after="240"/>
      </w:pPr>
      <w:r>
        <w:rPr>
          <w:rFonts w:ascii="Trebuchet MS" w:cs="Trebuchet MS" w:eastAsia="Trebuchet MS" w:hAnsi="Trebuchet MS"/>
          <w:i/>
          <w:iCs/>
          <w:color w:val="555555"/>
          <w:sz w:val="21"/>
          <w:szCs w:val="21"/>
        </w:rPr>
        <w:t xml:space="preserve">Audience, Tone and Active Listening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Qualification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NCFE Level 2 Certificate in Understanding Coding (603/5854/3)</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Unit / Lesson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Unit 05: Communication &amp; Project Management — Lesson 02 of scheme</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Duration</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90 minutes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Prior learning</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Learners met communication in general in Lesson 01, including internal/external communication and six communication methods. This lesson develops that into a practical skill, choosing the right method for a situation, and adapting for different audiences.</w:t>
            </w:r>
          </w:p>
        </w:tc>
      </w:tr>
      <w:tr>
        <w:tc>
          <w:tcPr>
            <w:tcW w:type="dxa" w:w="2600"/>
            <w:tcBorders>
              <w:top w:val="single" w:color="CCCCCC" w:sz="4"/>
              <w:left w:val="single" w:color="CCCCCC" w:sz="4"/>
              <w:bottom w:val="single" w:color="CCCCCC" w:sz="4"/>
              <w:right w:val="single" w:color="CCCCCC" w:sz="4"/>
            </w:tcBorders>
            <w:shd w:fill="EFE7F7" w:val="clear"/>
            <w:tcMar>
              <w:top w:type="dxa" w:w="100"/>
              <w:left w:type="dxa" w:w="150"/>
              <w:bottom w:type="dxa" w:w="100"/>
              <w:right w:type="dxa" w:w="150"/>
            </w:tcMar>
            <w:vAlign w:val="center"/>
          </w:tcPr>
          <w:p>
            <w:r>
              <w:rPr>
                <w:rFonts w:ascii="Trebuchet MS" w:cs="Trebuchet MS" w:eastAsia="Trebuchet MS" w:hAnsi="Trebuchet MS"/>
                <w:b/>
                <w:bCs/>
                <w:sz w:val="21"/>
                <w:szCs w:val="21"/>
              </w:rPr>
              <w:t xml:space="preserve">Room / resources</w:t>
            </w:r>
          </w:p>
        </w:tc>
        <w:tc>
          <w:tcPr>
            <w:tcW w:type="dxa" w:w="7146"/>
            <w:tcBorders>
              <w:top w:val="single" w:color="CCCCCC" w:sz="4"/>
              <w:left w:val="single" w:color="CCCCCC" w:sz="4"/>
              <w:bottom w:val="single" w:color="CCCCCC" w:sz="4"/>
              <w:right w:val="single" w:color="CCCCCC" w:sz="4"/>
            </w:tcBorders>
            <w:tcMar>
              <w:top w:type="dxa" w:w="100"/>
              <w:left w:type="dxa" w:w="150"/>
              <w:bottom w:type="dxa" w:w="100"/>
              <w:right w:type="dxa" w:w="150"/>
            </w:tcMar>
            <w:vAlign w:val="center"/>
          </w:tcPr>
          <w:p>
            <w:r>
              <w:rPr>
                <w:rFonts w:ascii="Trebuchet MS" w:cs="Trebuchet MS" w:eastAsia="Trebuchet MS" w:hAnsi="Trebuchet MS"/>
                <w:sz w:val="21"/>
                <w:szCs w:val="21"/>
              </w:rPr>
              <w:t xml:space="preserve">Classroom with student devices, retrieval.toolsforteaching.co.uk, OneNote Class Notebook, projector for slide deck Unit_5_Lesson_02_Choosing_the_right_method.pptx</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Learning Objectives</w:t>
      </w:r>
    </w:p>
    <w:p>
      <w:pPr>
        <w:spacing w:after="120"/>
      </w:pPr>
      <w:r>
        <w:rPr>
          <w:rFonts w:ascii="Trebuchet MS" w:cs="Trebuchet MS" w:eastAsia="Trebuchet MS" w:hAnsi="Trebuchet MS"/>
          <w:sz w:val="21"/>
          <w:szCs w:val="21"/>
        </w:rPr>
        <w:t xml:space="preserve">By the end of this lesson, learners will be able to:</w:t>
      </w:r>
    </w:p>
    <w:p>
      <w:pPr>
        <w:pStyle w:val="ListParagraph"/>
        <w:numPr>
          <w:ilvl w:val="0"/>
          <w:numId w:val="2"/>
        </w:numPr>
        <w:spacing w:after="100"/>
      </w:pPr>
      <w:r>
        <w:rPr>
          <w:rFonts w:ascii="Trebuchet MS" w:cs="Trebuchet MS" w:eastAsia="Trebuchet MS" w:hAnsi="Trebuchet MS"/>
          <w:sz w:val="21"/>
          <w:szCs w:val="21"/>
        </w:rPr>
        <w:t xml:space="preserve">Choose an appropriate communication method for different situations in a software project</w:t>
      </w:r>
    </w:p>
    <w:p>
      <w:pPr>
        <w:pStyle w:val="ListParagraph"/>
        <w:numPr>
          <w:ilvl w:val="0"/>
          <w:numId w:val="2"/>
        </w:numPr>
        <w:spacing w:after="100"/>
      </w:pPr>
      <w:r>
        <w:rPr>
          <w:rFonts w:ascii="Trebuchet MS" w:cs="Trebuchet MS" w:eastAsia="Trebuchet MS" w:hAnsi="Trebuchet MS"/>
          <w:sz w:val="21"/>
          <w:szCs w:val="21"/>
        </w:rPr>
        <w:t xml:space="preserve">Adapt communication for different audiences (technical and non-technical)</w:t>
      </w:r>
    </w:p>
    <w:p>
      <w:pPr>
        <w:pStyle w:val="ListParagraph"/>
        <w:numPr>
          <w:ilvl w:val="0"/>
          <w:numId w:val="2"/>
        </w:numPr>
        <w:spacing w:after="100"/>
      </w:pPr>
      <w:r>
        <w:rPr>
          <w:rFonts w:ascii="Trebuchet MS" w:cs="Trebuchet MS" w:eastAsia="Trebuchet MS" w:hAnsi="Trebuchet MS"/>
          <w:sz w:val="21"/>
          <w:szCs w:val="21"/>
        </w:rPr>
        <w:t xml:space="preserve">Demonstrate active listening skills during discussions</w:t>
      </w:r>
    </w:p>
    <w:p>
      <w:pPr>
        <w:pStyle w:val="ListParagraph"/>
        <w:numPr>
          <w:ilvl w:val="0"/>
          <w:numId w:val="2"/>
        </w:numPr>
        <w:spacing w:after="100"/>
      </w:pPr>
      <w:r>
        <w:rPr>
          <w:rFonts w:ascii="Trebuchet MS" w:cs="Trebuchet MS" w:eastAsia="Trebuchet MS" w:hAnsi="Trebuchet MS"/>
          <w:sz w:val="21"/>
          <w:szCs w:val="21"/>
        </w:rPr>
        <w:t xml:space="preserve">Explain how misunderstandings occur in development teams</w:t>
      </w:r>
    </w:p>
    <w:p>
      <w:pPr>
        <w:pStyle w:val="ListParagraph"/>
        <w:numPr>
          <w:ilvl w:val="0"/>
          <w:numId w:val="2"/>
        </w:numPr>
        <w:spacing w:after="100"/>
      </w:pPr>
      <w:r>
        <w:rPr>
          <w:rFonts w:ascii="Trebuchet MS" w:cs="Trebuchet MS" w:eastAsia="Trebuchet MS" w:hAnsi="Trebuchet MS"/>
          <w:sz w:val="21"/>
          <w:szCs w:val="21"/>
        </w:rPr>
        <w:t xml:space="preserve">Present information clearly using appropriate language and tone</w:t>
      </w:r>
    </w:p>
    <w:p>
      <w:pPr>
        <w:spacing w:after="180"/>
      </w:pPr>
    </w:p>
    <w:p>
      <w:pPr>
        <w:pBdr>
          <w:bottom w:val="single" w:color="4B2E7E" w:sz="6" w:space="4"/>
        </w:pBdr>
        <w:spacing w:after="140" w:before="300"/>
      </w:pPr>
      <w:r>
        <w:rPr>
          <w:rFonts w:ascii="Trebuchet MS" w:cs="Trebuchet MS" w:eastAsia="Trebuchet MS" w:hAnsi="Trebuchet MS"/>
          <w:b/>
          <w:bCs/>
          <w:color w:val="4B2E7E"/>
          <w:sz w:val="28"/>
          <w:szCs w:val="28"/>
        </w:rPr>
        <w:t xml:space="preserve">Key Vocabulary (teacher reference)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Audience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The person or group receiving a communication, whose needs shape how it should be delivered.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Stakeholder</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person or group with an interest in the project.</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Technical Audience</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audience, such as other developers or system administrators, that generally understands technical terminology.</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Non-technical Audience</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An audience, such as clients or end users, that may not understand technical terms.</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Jargon</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Specialist technical language that may not be understood outside a particular field.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Active Listening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Paying full attention to a speaker, not interrupting, asking clarifying questions, and confirming what was heard.</w:t>
            </w:r>
          </w:p>
        </w:tc>
      </w:tr>
      <w:tr>
        <w:tc>
          <w:tcPr>
            <w:tcW w:type="dxa" w:w="24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Clarifying Questions</w:t>
            </w:r>
          </w:p>
        </w:tc>
        <w:tc>
          <w:tcPr>
            <w:tcW w:type="dxa" w:w="7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Questions asked to check and confirm understanding of what someone has said.</w:t>
            </w:r>
          </w:p>
        </w:tc>
      </w:tr>
      <w:tr>
        <w:tc>
          <w:tcPr>
            <w:tcW w:type="dxa" w:w="24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Summarising</w:t>
            </w:r>
          </w:p>
        </w:tc>
        <w:tc>
          <w:tcPr>
            <w:tcW w:type="dxa" w:w="7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Restating the key points of what someone has said, to confirm understanding.</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Lesson Phases and Timing</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2300"/>
        <w:gridCol w:w="3346"/>
        <w:gridCol w:w="3200"/>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Time</w:t>
            </w:r>
          </w:p>
        </w:tc>
        <w:tc>
          <w:tcPr>
            <w:tcW w:type="dxa" w:w="23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Phase</w:t>
            </w:r>
          </w:p>
        </w:tc>
        <w:tc>
          <w:tcPr>
            <w:tcW w:type="dxa" w:w="33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Teacher activity</w:t>
            </w:r>
          </w:p>
        </w:tc>
        <w:tc>
          <w:tcPr>
            <w:tcW w:type="dxa" w:w="32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Learner activity</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Starter and housekeeping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Displays retrieval.toolsforteaching.co.uk recall code (slide 2). Reminds learners phones go in the wall pockets once logged in.</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retrieval quiz on devices, then put phones away.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Learning objectives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today's five objectives.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Copy learning objectives into OneNote workbook.</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3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Key vocabulary and scenario matching intro</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Introduces the eight key terms and the six example communication methods, email, face-to-face meeting, video call, instant message/chat, written documentation, issue tracker or bug report system.</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Begin the key vocabulary table, note down the six example communication methods.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Scenario matching starter</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quick task, match five scenarios (a client wants clarification, a team planning a sprint, a user reports a bug, a developer explains a delay, a new feature needs sharing) to the best communication method and why.</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match each scenario to the best communication method and explain why it is appropriate.</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8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Understanding your audience</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different audiences have different levels of technical knowledge, then introduces Technical Audiences (other developers, engineers, system administrators, who understand terms like APIs, databases, frameworks, debugging) and Non-Technical Audiences (clients, customers, managers, end users, who need plain English, no unnecessary jargon, and a focus on outcome or impact).</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difference between technical and non-technical audiences, using the example technical and non-technical explanations of the same problem given.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Tone and clarity</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good communication should always be clear, accurate, respectful and appropriate for the audience, avoiding overly complex explanations, too much jargon, and unclear or vague descriptions, aiming instead for short sentences, clear structure and plain language.</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qualities of good communication and the three things to avoid.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7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Active listening</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communication is not only about speaking or writing, it is also about listening carefully, paying full attention, not interrupting, asking clarifying questions, and confirming what was heard, giving example summarising and clarifying-question techniques.</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four elements of active listening and copy the example summarising and clarifying question techniques.</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Why miscommunication happens</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Explains that miscommunication is one of the most common causes of software project problems, leading to delays, incorrect features, increased costs and frustrated clients, with common causes including unclear requirements, too much jargon, poor listening and not confirming understanding. Introduces confirming techniques, repeating key points, summarising decisions, asking questions, writing down agreed outcomes.</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down the common causes of miscommunication and the four ways developers confirm understanding.</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5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Death by PowerPoint (STS-107)</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quick research task, research the incident that affected Space Shuttle Mission STS-107 on 1st February 2003, identifying the technical problem and the communication problem.</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research the STS-107 incident and note the technical problem and the communication problem separately.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15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Mini practical: rewrite for a different audience</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task, take a technical explanation about a database timeout and inefficient queries, and rewrite it for a non-technical audience such as a client, manager or parent, keeping the same meaning, removing or explaining jargon, and staying clear and easy to understand.</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rewrite the given technical explanation for a non-technical audience, keeping the same meaning while removing jargon.</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20 min</w:t>
            </w:r>
          </w:p>
        </w:tc>
        <w:tc>
          <w:tcPr>
            <w:tcW w:type="dxa" w:w="23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Activity: communication role play</w:t>
            </w:r>
          </w:p>
        </w:tc>
        <w:tc>
          <w:tcPr>
            <w:tcW w:type="dxa" w:w="33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group task, prepare how to explain a project delay to three different audiences, Project Manager, Client, Junior Developer, considering level of technical detail, use of jargon, and tone and clarity, then either act out or script the conversation, with groups evaluating each presentation against four criteria.</w:t>
            </w:r>
          </w:p>
        </w:tc>
        <w:tc>
          <w:tcPr>
            <w:tcW w:type="dxa" w:w="32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 pairs or small groups, prepare and present or script the delay explanation for all three audiences, then evaluate presentations against the criteria, was it clear, was the language appropriate, was jargon used appropriately, did it address the delay clearly.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9 min</w:t>
            </w:r>
          </w:p>
        </w:tc>
        <w:tc>
          <w:tcPr>
            <w:tcW w:type="dxa" w:w="23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w:t>
            </w:r>
          </w:p>
        </w:tc>
        <w:tc>
          <w:tcPr>
            <w:tcW w:type="dxa" w:w="33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Sets the final independent reflection, why is it important to adapt communication for different audiences, how does active listening help prevent misunderstandings, give one example of how jargon could confuse a client, what strategies confirm understanding.</w:t>
            </w:r>
          </w:p>
        </w:tc>
        <w:tc>
          <w:tcPr>
            <w:tcW w:type="dxa" w:w="32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Working independently, answer all four reflection questions in OneNote.</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Differentiation</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49"/>
        <w:gridCol w:w="3249"/>
        <w:gridCol w:w="3248"/>
      </w:tblGrid>
      <w:tr>
        <w:trPr>
          <w:tblHeader/>
        </w:trPr>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Support</w:t>
            </w:r>
          </w:p>
        </w:tc>
        <w:tc>
          <w:tcPr>
            <w:tcW w:type="dxa" w:w="3249"/>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Core</w:t>
            </w:r>
          </w:p>
        </w:tc>
        <w:tc>
          <w:tcPr>
            <w:tcW w:type="dxa" w:w="32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Stretch</w:t>
            </w:r>
          </w:p>
        </w:tc>
      </w:tr>
      <w:tr>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Provide the technical/non-technical example pair (authentication service failure) as a direct model before the mini practical rewriting task.</w:t>
            </w:r>
          </w:p>
          <w:p>
            <w:pPr>
              <w:spacing w:after="60"/>
            </w:pPr>
            <w:r>
              <w:rPr>
                <w:rFonts w:ascii="Trebuchet MS" w:cs="Trebuchet MS" w:eastAsia="Trebuchet MS" w:hAnsi="Trebuchet MS"/>
                <w:sz w:val="18"/>
                <w:szCs w:val="18"/>
              </w:rPr>
              <w:t xml:space="preserve">Reduce the role play task to one audience (for example just the Client) rather than all three.</w:t>
            </w:r>
          </w:p>
          <w:p>
            <w:pPr>
              <w:spacing w:after="60"/>
            </w:pPr>
            <w:r>
              <w:rPr>
                <w:rFonts w:ascii="Trebuchet MS" w:cs="Trebuchet MS" w:eastAsia="Trebuchet MS" w:hAnsi="Trebuchet MS"/>
                <w:sz w:val="18"/>
                <w:szCs w:val="18"/>
              </w:rPr>
              <w:t xml:space="preserve">Provide sentence starters for active listening responses, such as ‘So you're saying...’, ‘Do you mean...’.</w:t>
            </w:r>
          </w:p>
        </w:tc>
        <w:tc>
          <w:tcPr>
            <w:tcW w:type="dxa" w:w="3249"/>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 the mini practical rewrite task and the role play task for all three audiences, and answer all four reflect questions.</w:t>
            </w:r>
          </w:p>
        </w:tc>
        <w:tc>
          <w:tcPr>
            <w:tcW w:type="dxa" w:w="32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Ask stretch learners to write a fourth audience version of the delay explanation, for example a non-technical parent, and compare it to the other three.</w:t>
            </w:r>
          </w:p>
          <w:p>
            <w:pPr>
              <w:spacing w:after="60"/>
            </w:pPr>
            <w:r>
              <w:rPr>
                <w:rFonts w:ascii="Trebuchet MS" w:cs="Trebuchet MS" w:eastAsia="Trebuchet MS" w:hAnsi="Trebuchet MS"/>
                <w:sz w:val="18"/>
                <w:szCs w:val="18"/>
              </w:rPr>
              <w:t xml:space="preserve">Extend the reflect task, ask learners to identify a situation from their own project work where they could have communicated something more clearly, and rewrite it.</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Assessment for Learning</w:t>
      </w:r>
    </w:p>
    <w:p>
      <w:pPr>
        <w:pStyle w:val="ListParagraph"/>
        <w:numPr>
          <w:ilvl w:val="0"/>
          <w:numId w:val="2"/>
        </w:numPr>
        <w:spacing w:after="100"/>
      </w:pPr>
      <w:r>
        <w:rPr>
          <w:rFonts w:ascii="Trebuchet MS" w:cs="Trebuchet MS" w:eastAsia="Trebuchet MS" w:hAnsi="Trebuchet MS"/>
          <w:sz w:val="21"/>
          <w:szCs w:val="21"/>
        </w:rPr>
        <w:t xml:space="preserve">The scenario matching starter is a quick, low-stakes check of whether learners already have an instinct for matching a method to a situation before formal teaching on audience and tone.</w:t>
      </w:r>
    </w:p>
    <w:p>
      <w:pPr>
        <w:pStyle w:val="ListParagraph"/>
        <w:numPr>
          <w:ilvl w:val="0"/>
          <w:numId w:val="2"/>
        </w:numPr>
        <w:spacing w:after="100"/>
      </w:pPr>
      <w:r>
        <w:rPr>
          <w:rFonts w:ascii="Trebuchet MS" w:cs="Trebuchet MS" w:eastAsia="Trebuchet MS" w:hAnsi="Trebuchet MS"/>
          <w:sz w:val="21"/>
          <w:szCs w:val="21"/>
        </w:rPr>
        <w:t xml:space="preserve">The technical vs non-technical explanation comparison is checked verbally before the mini practical task, this confirms learners can already spot jargon before being asked to remove it themselves.</w:t>
      </w:r>
    </w:p>
    <w:p>
      <w:pPr>
        <w:pStyle w:val="ListParagraph"/>
        <w:numPr>
          <w:ilvl w:val="0"/>
          <w:numId w:val="2"/>
        </w:numPr>
        <w:spacing w:after="100"/>
      </w:pPr>
      <w:r>
        <w:rPr>
          <w:rFonts w:ascii="Trebuchet MS" w:cs="Trebuchet MS" w:eastAsia="Trebuchet MS" w:hAnsi="Trebuchet MS"/>
          <w:sz w:val="21"/>
          <w:szCs w:val="21"/>
        </w:rPr>
        <w:t xml:space="preserve">The STS-107 research task is checked for correctly separating the technical problem from the communication problem, a common confusion this lesson specifically targets.</w:t>
      </w:r>
    </w:p>
    <w:p>
      <w:pPr>
        <w:pStyle w:val="ListParagraph"/>
        <w:numPr>
          <w:ilvl w:val="0"/>
          <w:numId w:val="2"/>
        </w:numPr>
        <w:spacing w:after="100"/>
      </w:pPr>
      <w:r>
        <w:rPr>
          <w:rFonts w:ascii="Trebuchet MS" w:cs="Trebuchet MS" w:eastAsia="Trebuchet MS" w:hAnsi="Trebuchet MS"/>
          <w:sz w:val="21"/>
          <w:szCs w:val="21"/>
        </w:rPr>
        <w:t xml:space="preserve">Circulate during the mini practical rewrite task, this is the main practical checkpoint, keeping the same meaning while removing jargon is the clearest evidence of the second learning objective.</w:t>
      </w:r>
    </w:p>
    <w:p>
      <w:pPr>
        <w:pStyle w:val="ListParagraph"/>
        <w:numPr>
          <w:ilvl w:val="0"/>
          <w:numId w:val="2"/>
        </w:numPr>
        <w:spacing w:after="100"/>
      </w:pPr>
      <w:r>
        <w:rPr>
          <w:rFonts w:ascii="Trebuchet MS" w:cs="Trebuchet MS" w:eastAsia="Trebuchet MS" w:hAnsi="Trebuchet MS"/>
          <w:sz w:val="21"/>
          <w:szCs w:val="21"/>
        </w:rPr>
        <w:t xml:space="preserve">The role play evaluation criteria, completed by peers watching each presentation, is a strong additional checkpoint, since learners must apply the audience-adaptation criteria to someone else's work, not just their own.</w:t>
      </w:r>
    </w:p>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Common Misconceptions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898"/>
        <w:gridCol w:w="5848"/>
      </w:tblGrid>
      <w:tr>
        <w:trPr>
          <w:tblHeader/>
        </w:trPr>
        <w:tc>
          <w:tcPr>
            <w:tcW w:type="dxa" w:w="389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Misconception</w:t>
            </w:r>
          </w:p>
        </w:tc>
        <w:tc>
          <w:tcPr>
            <w:tcW w:type="dxa" w:w="584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to address it</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adapting for a non-technical audience means leaving out important information.</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Use the authentication service example directly, the non-technical version keeps the same meaning, the system could not verify logins because part of security failed, it just removes the specific technical terms, not the substance.</w:t>
            </w:r>
          </w:p>
        </w:tc>
      </w:tr>
      <w:tr>
        <w:tc>
          <w:tcPr>
            <w:tcW w:type="dxa" w:w="389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active listening just means staying quiet while someone else talks.</w:t>
            </w:r>
          </w:p>
        </w:tc>
        <w:tc>
          <w:tcPr>
            <w:tcW w:type="dxa" w:w="584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Reinforce the four elements given, paying full attention, not interrupting, asking clarifying questions, and confirming what was heard, active listening is participatory, using summarising and clarifying questions, not passive.</w:t>
            </w:r>
          </w:p>
        </w:tc>
      </w:tr>
      <w:tr>
        <w:tc>
          <w:tcPr>
            <w:tcW w:type="dxa" w:w="389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Learners think using jargon with a technical audience is always fine because they will understand it.</w:t>
            </w:r>
          </w:p>
        </w:tc>
        <w:tc>
          <w:tcPr>
            <w:tcW w:type="dxa" w:w="584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Note that even technical audiences benefit from clarity, appropriate for the audience does not mean maximum jargon for technical audiences, it means matching detail and terminology to what genuinely helps that audience understand.</w:t>
            </w:r>
          </w:p>
        </w:tc>
      </w:tr>
    </w:tbl>
    <w:p>
      <w:pPr>
        <w:spacing w:after="240"/>
      </w:pPr>
    </w:p>
    <w:p>
      <w:pPr>
        <w:pBdr>
          <w:bottom w:val="single" w:color="4B2E7E" w:sz="6" w:space="4"/>
        </w:pBdr>
        <w:spacing w:after="140" w:before="300"/>
      </w:pPr>
      <w:r>
        <w:rPr>
          <w:rFonts w:ascii="Trebuchet MS" w:cs="Trebuchet MS" w:eastAsia="Trebuchet MS" w:hAnsi="Trebuchet MS"/>
          <w:b/>
          <w:bCs/>
          <w:color w:val="4B2E7E"/>
          <w:sz w:val="28"/>
          <w:szCs w:val="28"/>
        </w:rPr>
        <w:t xml:space="preserve">Homework</w:t>
      </w:r>
    </w:p>
    <w:p>
      <w:pPr>
        <w:spacing w:after="120"/>
      </w:pPr>
      <w:r>
        <w:rPr>
          <w:rFonts w:ascii="Trebuchet MS" w:cs="Trebuchet MS" w:eastAsia="Trebuchet MS" w:hAnsi="Trebuchet MS"/>
          <w:sz w:val="21"/>
          <w:szCs w:val="21"/>
        </w:rPr>
        <w:t xml:space="preserve">Choose one piece of technical writing you have produced earlier in this course (a comment, a report, an explanation). Rewrite it for a specific non-technical audience of your choice, and note what you changed and why.</w:t>
      </w:r>
    </w:p>
    <w:p>
      <w:pPr>
        <w:spacing w:after="300"/>
      </w:pPr>
    </w:p>
    <w:p>
      <w:r>
        <w:br w:type="page"/>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none" w:color="FFFFFF" w:sz="0"/>
              <w:left w:val="none" w:color="FFFFFF" w:sz="0"/>
              <w:bottom w:val="none" w:color="FFFFFF" w:sz="0"/>
              <w:right w:val="none" w:color="FFFFFF" w:sz="0"/>
            </w:tcBorders>
            <w:shd w:fill="1F6F6B" w:val="clear"/>
            <w:tcMar>
              <w:top w:type="dxa" w:w="160"/>
              <w:left w:type="dxa" w:w="200"/>
              <w:bottom w:type="dxa" w:w="160"/>
              <w:right w:type="dxa" w:w="200"/>
            </w:tcMar>
          </w:tcPr>
          <w:p>
            <w:pPr>
              <w:jc w:val="left"/>
            </w:pPr>
            <w:r>
              <w:rPr>
                <w:rFonts w:ascii="Trebuchet MS" w:cs="Trebuchet MS" w:eastAsia="Trebuchet MS" w:hAnsi="Trebuchet MS"/>
                <w:b/>
                <w:bCs/>
                <w:color w:val="FFFFFF"/>
                <w:sz w:val="24"/>
                <w:szCs w:val="24"/>
              </w:rPr>
              <w:t xml:space="preserve">STUDENT SECTION — CUT &amp; PASTE INTO ONENOTE</w:t>
            </w:r>
          </w:p>
        </w:tc>
      </w:tr>
    </w:tbl>
    <w:p>
      <w:pPr>
        <w:spacing w:after="120"/>
      </w:pPr>
    </w:p>
    <w:p>
      <w:pPr>
        <w:spacing w:after="200"/>
      </w:pPr>
      <w:r>
        <w:rPr>
          <w:rFonts w:ascii="Trebuchet MS" w:cs="Trebuchet MS" w:eastAsia="Trebuchet MS" w:hAnsi="Trebuchet MS"/>
          <w:b/>
          <w:bCs/>
          <w:color w:val="4B2E7E"/>
          <w:sz w:val="24"/>
          <w:szCs w:val="24"/>
        </w:rPr>
        <w:t xml:space="preserve">Unit 05 | Lesson 02: Choosing the Right Method</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FE7F7" w:val="clear"/>
            <w:tcMar>
              <w:top w:type="dxa" w:w="160"/>
              <w:left w:type="dxa" w:w="200"/>
              <w:bottom w:type="dxa" w:w="160"/>
              <w:right w:type="dxa" w:w="200"/>
            </w:tcMar>
          </w:tcPr>
          <w:p>
            <w:pPr>
              <w:spacing w:after="100"/>
            </w:pPr>
            <w:r>
              <w:rPr>
                <w:rFonts w:ascii="Trebuchet MS" w:cs="Trebuchet MS" w:eastAsia="Trebuchet MS" w:hAnsi="Trebuchet MS"/>
                <w:b/>
                <w:bCs/>
                <w:color w:val="4B2E7E"/>
                <w:sz w:val="21"/>
                <w:szCs w:val="21"/>
              </w:rPr>
              <w:t xml:space="preserve">ℹ️  How to use this page</w:t>
            </w:r>
          </w:p>
          <w:p>
            <w:pPr>
              <w:spacing w:after="120"/>
            </w:pPr>
            <w:r>
              <w:rPr>
                <w:rFonts w:ascii="Trebuchet MS" w:cs="Trebuchet MS" w:eastAsia="Trebuchet MS" w:hAnsi="Trebuchet MS"/>
                <w:sz w:val="21"/>
                <w:szCs w:val="21"/>
              </w:rPr>
              <w:t xml:space="preserve">This is your notes, classwork and revision resource in one place. Complete the tasks during the lesson as directed. Use the space under each box for your own answers. Return to the key terms and revision checklist when revising for assessments.</w:t>
            </w:r>
          </w:p>
        </w:tc>
      </w:tr>
    </w:tbl>
    <w:p>
      <w:pPr>
        <w:spacing w:after="200"/>
      </w:pPr>
    </w:p>
    <w:p>
      <w:pPr>
        <w:spacing w:after="120"/>
      </w:pPr>
      <w:r>
        <w:rPr>
          <w:rFonts w:ascii="Trebuchet MS" w:cs="Trebuchet MS" w:eastAsia="Trebuchet MS" w:hAnsi="Trebuchet MS"/>
          <w:b/>
          <w:bCs/>
          <w:sz w:val="21"/>
          <w:szCs w:val="21"/>
        </w:rPr>
        <w:t xml:space="preserve">What will I be able to do by the end of this lesson?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Choose an appropriate communication method for different situations.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Adapt communication for different audiences (technical and non-technical).</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Demonstrate active listening skills during discussions.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how misunderstandings occur in development teams.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Present information clearly using appropriate language and tone.</w:t>
      </w:r>
    </w:p>
    <w:p>
      <w:pPr>
        <w:spacing w:after="200"/>
      </w:pPr>
    </w:p>
    <w:p>
      <w:pPr>
        <w:spacing w:after="80"/>
      </w:pPr>
      <w:r>
        <w:rPr>
          <w:rFonts w:ascii="Trebuchet MS" w:cs="Trebuchet MS" w:eastAsia="Trebuchet MS" w:hAnsi="Trebuchet MS"/>
          <w:b/>
          <w:bCs/>
          <w:sz w:val="21"/>
          <w:szCs w:val="21"/>
        </w:rPr>
        <w:t xml:space="preserve">Recall Quiz</w:t>
      </w:r>
    </w:p>
    <w:p>
      <w:pPr>
        <w:spacing w:after="120"/>
      </w:pPr>
      <w:r>
        <w:rPr>
          <w:rFonts w:ascii="Trebuchet MS" w:cs="Trebuchet MS" w:eastAsia="Trebuchet MS" w:hAnsi="Trebuchet MS"/>
          <w:sz w:val="21"/>
          <w:szCs w:val="21"/>
        </w:rPr>
        <w:t xml:space="preserve">Visit: retrieval.toolsforteaching.co.uk</w:t>
      </w:r>
    </w:p>
    <w:p>
      <w:pPr>
        <w:spacing w:after="120"/>
      </w:pPr>
      <w:r>
        <w:rPr>
          <w:rFonts w:ascii="Trebuchet MS" w:cs="Trebuchet MS" w:eastAsia="Trebuchet MS" w:hAnsi="Trebuchet MS"/>
          <w:sz w:val="21"/>
          <w:szCs w:val="21"/>
        </w:rPr>
        <w:t xml:space="preserve">Code: j4bmer</w:t>
      </w:r>
    </w:p>
    <w:p>
      <w:pPr>
        <w:spacing w:after="200"/>
      </w:pPr>
    </w:p>
    <w:p>
      <w:pPr>
        <w:spacing w:after="100" w:before="160"/>
      </w:pPr>
      <w:r>
        <w:rPr>
          <w:rFonts w:ascii="Trebuchet MS" w:cs="Trebuchet MS" w:eastAsia="Trebuchet MS" w:hAnsi="Trebuchet MS"/>
          <w:b/>
          <w:bCs/>
          <w:sz w:val="21"/>
          <w:szCs w:val="21"/>
        </w:rPr>
        <w:t xml:space="preserve">Key Vocabulary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400"/>
        <w:gridCol w:w="7346"/>
      </w:tblGrid>
      <w:tr>
        <w:trPr>
          <w:tblHeader/>
        </w:trPr>
        <w:tc>
          <w:tcPr>
            <w:tcW w:type="dxa" w:w="2400"/>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Term</w:t>
            </w:r>
          </w:p>
        </w:tc>
        <w:tc>
          <w:tcPr>
            <w:tcW w:type="dxa" w:w="7346"/>
            <w:tcBorders>
              <w:top w:val="single" w:color="CCCCCC" w:sz="4"/>
              <w:left w:val="single" w:color="CCCCCC" w:sz="4"/>
              <w:bottom w:val="single" w:color="CCCCCC" w:sz="4"/>
              <w:right w:val="single" w:color="CCCCCC" w:sz="4"/>
            </w:tcBorders>
            <w:shd w:fill="1F6F6B"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Definition</w:t>
            </w: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Audience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Stakeholder</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Technical Audience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Non-technical Audience</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Jargon</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Active Listening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Clarifying Questions</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r>
        <w:tc>
          <w:tcPr>
            <w:tcW w:type="dxa" w:w="2400"/>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40"/>
            </w:pPr>
            <w:r>
              <w:rPr>
                <w:rFonts w:ascii="Trebuchet MS" w:cs="Trebuchet MS" w:eastAsia="Trebuchet MS" w:hAnsi="Trebuchet MS"/>
                <w:b/>
                <w:bCs/>
                <w:sz w:val="18"/>
                <w:szCs w:val="18"/>
              </w:rPr>
              <w:t xml:space="preserve">Summarising</w:t>
            </w:r>
          </w:p>
        </w:tc>
        <w:tc>
          <w:tcPr>
            <w:tcW w:type="dxa" w:w="7346"/>
            <w:tcBorders>
              <w:top w:val="single" w:color="CCCCCC" w:sz="4"/>
              <w:left w:val="single" w:color="CCCCCC" w:sz="4"/>
              <w:bottom w:val="single" w:color="CCCCCC" w:sz="4"/>
              <w:right w:val="single" w:color="CCCCCC" w:sz="4"/>
            </w:tcBorders>
            <w:tcMar>
              <w:top w:type="dxa" w:w="100"/>
              <w:left w:type="dxa" w:w="150"/>
              <w:bottom w:type="dxa" w:w="100"/>
              <w:right w:type="dxa" w:w="150"/>
            </w:tcMar>
          </w:tcPr>
          <w:p>
            <w:pPr>
              <w:spacing w:after="160"/>
            </w:pPr>
          </w:p>
          <w:p>
            <w:pPr>
              <w:spacing w:after="160"/>
            </w:pPr>
          </w:p>
        </w:tc>
      </w:tr>
    </w:tbl>
    <w:p>
      <w:pPr>
        <w:spacing w:after="240"/>
      </w:pPr>
    </w:p>
    <w:p>
      <w:pPr>
        <w:spacing w:after="100" w:before="160"/>
      </w:pPr>
      <w:r>
        <w:rPr>
          <w:rFonts w:ascii="Trebuchet MS" w:cs="Trebuchet MS" w:eastAsia="Trebuchet MS" w:hAnsi="Trebuchet MS"/>
          <w:b/>
          <w:bCs/>
          <w:sz w:val="21"/>
          <w:szCs w:val="21"/>
        </w:rPr>
        <w:t xml:space="preserve">Scenario Matching Starter</w:t>
      </w:r>
    </w:p>
    <w:p>
      <w:pPr>
        <w:spacing w:after="120"/>
      </w:pPr>
      <w:r>
        <w:rPr>
          <w:rFonts w:ascii="Trebuchet MS" w:cs="Trebuchet MS" w:eastAsia="Trebuchet MS" w:hAnsi="Trebuchet MS"/>
          <w:sz w:val="21"/>
          <w:szCs w:val="21"/>
        </w:rPr>
        <w:t xml:space="preserve">Examples of communication methods: Email, Face-to-face meeting, Video call, Instant message/chat/Slack/Teams/Discord, Written documentation, Issue tracker or bug report system.</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5 minutes</w:t>
            </w:r>
          </w:p>
          <w:p>
            <w:pPr>
              <w:spacing w:after="120"/>
            </w:pPr>
            <w:r>
              <w:rPr>
                <w:rFonts w:ascii="Trebuchet MS" w:cs="Trebuchet MS" w:eastAsia="Trebuchet MS" w:hAnsi="Trebuchet MS"/>
                <w:sz w:val="21"/>
                <w:szCs w:val="21"/>
              </w:rPr>
              <w:t xml:space="preserve">Match each scenario to the communication method you think would work best.</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800"/>
        <w:gridCol w:w="2778"/>
        <w:gridCol w:w="4168"/>
      </w:tblGrid>
      <w:tr>
        <w:trPr>
          <w:tblHeader/>
        </w:trPr>
        <w:tc>
          <w:tcPr>
            <w:tcW w:type="dxa" w:w="2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Scenario</w:t>
            </w:r>
          </w:p>
        </w:tc>
        <w:tc>
          <w:tcPr>
            <w:tcW w:type="dxa" w:w="277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Best Communication Method</w:t>
            </w:r>
          </w:p>
        </w:tc>
        <w:tc>
          <w:tcPr>
            <w:tcW w:type="dxa" w:w="4168"/>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Why is this method appropriate?</w:t>
            </w:r>
          </w:p>
        </w:tc>
      </w:tr>
      <w:tr>
        <w:tc>
          <w:tcPr>
            <w:tcW w:type="dxa" w:w="2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client wants clarification about how a feature works</w:t>
            </w:r>
          </w:p>
        </w:tc>
        <w:tc>
          <w:tcPr>
            <w:tcW w:type="dxa" w:w="277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16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team is planning tasks for the next development sprint</w:t>
            </w:r>
          </w:p>
        </w:tc>
        <w:tc>
          <w:tcPr>
            <w:tcW w:type="dxa" w:w="277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16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user has reported a bug in the system</w:t>
            </w:r>
          </w:p>
        </w:tc>
        <w:tc>
          <w:tcPr>
            <w:tcW w:type="dxa" w:w="277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16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developer must explain a delay in completing a task</w:t>
            </w:r>
          </w:p>
        </w:tc>
        <w:tc>
          <w:tcPr>
            <w:tcW w:type="dxa" w:w="277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168"/>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2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A new feature needs to be shared with the whole team</w:t>
            </w:r>
          </w:p>
        </w:tc>
        <w:tc>
          <w:tcPr>
            <w:tcW w:type="dxa" w:w="277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4168"/>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Understanding Your Audience</w:t>
            </w:r>
          </w:p>
          <w:p>
            <w:pPr>
              <w:spacing w:after="120"/>
            </w:pPr>
            <w:r>
              <w:rPr>
                <w:rFonts w:ascii="Trebuchet MS" w:cs="Trebuchet MS" w:eastAsia="Trebuchet MS" w:hAnsi="Trebuchet MS"/>
                <w:sz w:val="21"/>
                <w:szCs w:val="21"/>
              </w:rPr>
              <w:t xml:space="preserve">Technical Audiences: other developers, software engineers, system administrators. They usually understand terms such as APIs, databases, frameworks, debugging. Communication can include technical detail and specialist terms.</w:t>
            </w:r>
          </w:p>
          <w:p>
            <w:pPr>
              <w:spacing w:after="120"/>
            </w:pPr>
            <w:r>
              <w:rPr>
                <w:rFonts w:ascii="Trebuchet MS" w:cs="Trebuchet MS" w:eastAsia="Trebuchet MS" w:hAnsi="Trebuchet MS"/>
                <w:sz w:val="21"/>
                <w:szCs w:val="21"/>
              </w:rPr>
              <w:t xml:space="preserve">Non-Technical Audiences: clients, customers, managers, end users. They may not understand technical terms. Communication should avoid unnecessary jargon, use plain English, and focus on the outcome or impact.</w:t>
            </w:r>
          </w:p>
        </w:tc>
      </w:tr>
    </w:tbl>
    <w:p>
      <w:pPr>
        <w:spacing w:after="120"/>
      </w:pPr>
      <w:r>
        <w:rPr>
          <w:rFonts w:ascii="Trebuchet MS" w:cs="Trebuchet MS" w:eastAsia="Trebuchet MS" w:hAnsi="Trebuchet MS"/>
          <w:sz w:val="21"/>
          <w:szCs w:val="21"/>
        </w:rPr>
        <w:t xml:space="preserve">Example — Technical: ‘The authentication service failed due to a token validation error in the API gateway.’ Non-technical: ‘The system could not verify user logins because one part of the security system stopped working.’</w:t>
      </w:r>
    </w:p>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Tone and Clarity</w:t>
            </w:r>
          </w:p>
          <w:p>
            <w:pPr>
              <w:spacing w:after="120"/>
            </w:pPr>
            <w:r>
              <w:rPr>
                <w:rFonts w:ascii="Trebuchet MS" w:cs="Trebuchet MS" w:eastAsia="Trebuchet MS" w:hAnsi="Trebuchet MS"/>
                <w:sz w:val="21"/>
                <w:szCs w:val="21"/>
              </w:rPr>
              <w:t xml:space="preserve">Good communication should always be: clear, accurate, respectful, appropriate for the audience.</w:t>
            </w:r>
          </w:p>
          <w:p>
            <w:pPr>
              <w:spacing w:after="120"/>
            </w:pPr>
            <w:r>
              <w:rPr>
                <w:rFonts w:ascii="Trebuchet MS" w:cs="Trebuchet MS" w:eastAsia="Trebuchet MS" w:hAnsi="Trebuchet MS"/>
                <w:sz w:val="21"/>
                <w:szCs w:val="21"/>
              </w:rPr>
              <w:t xml:space="preserve">Avoid: overly complex explanations, too much jargon, unclear or vague descriptions.</w:t>
            </w:r>
          </w:p>
          <w:p>
            <w:pPr>
              <w:spacing w:after="120"/>
            </w:pPr>
            <w:r>
              <w:rPr>
                <w:rFonts w:ascii="Trebuchet MS" w:cs="Trebuchet MS" w:eastAsia="Trebuchet MS" w:hAnsi="Trebuchet MS"/>
                <w:sz w:val="21"/>
                <w:szCs w:val="21"/>
              </w:rPr>
              <w:t xml:space="preserve">Instead aim for: short sentences, clear structure, plain language where possible.</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Active Listening</w:t>
            </w:r>
          </w:p>
          <w:p>
            <w:pPr>
              <w:spacing w:after="120"/>
            </w:pPr>
            <w:r>
              <w:rPr>
                <w:rFonts w:ascii="Trebuchet MS" w:cs="Trebuchet MS" w:eastAsia="Trebuchet MS" w:hAnsi="Trebuchet MS"/>
                <w:sz w:val="21"/>
                <w:szCs w:val="21"/>
              </w:rPr>
              <w:t xml:space="preserve">Active listening means: paying full attention to the speaker, not interrupting, asking questions to clarify understanding, confirming what you heard.</w:t>
            </w:r>
          </w:p>
          <w:p>
            <w:pPr>
              <w:spacing w:after="120"/>
            </w:pPr>
            <w:r>
              <w:rPr>
                <w:rFonts w:ascii="Trebuchet MS" w:cs="Trebuchet MS" w:eastAsia="Trebuchet MS" w:hAnsi="Trebuchet MS"/>
                <w:sz w:val="21"/>
                <w:szCs w:val="21"/>
              </w:rPr>
              <w:t xml:space="preserve">Summarising example: ‘So you're saying the login system stops working after several users log in at the same time?’</w:t>
            </w:r>
          </w:p>
          <w:p>
            <w:pPr>
              <w:spacing w:after="120"/>
            </w:pPr>
            <w:r>
              <w:rPr>
                <w:rFonts w:ascii="Trebuchet MS" w:cs="Trebuchet MS" w:eastAsia="Trebuchet MS" w:hAnsi="Trebuchet MS"/>
                <w:sz w:val="21"/>
                <w:szCs w:val="21"/>
              </w:rPr>
              <w:t xml:space="preserve">Clarifying question example: ‘Do you mean the problem happens on the website or on the mobile app?’</w:t>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FBF0DC" w:val="clear"/>
            <w:tcMar>
              <w:top w:type="dxa" w:w="160"/>
              <w:left w:type="dxa" w:w="200"/>
              <w:bottom w:type="dxa" w:w="160"/>
              <w:right w:type="dxa" w:w="200"/>
            </w:tcMar>
          </w:tcPr>
          <w:p>
            <w:pPr>
              <w:spacing w:after="100"/>
            </w:pPr>
            <w:r>
              <w:rPr>
                <w:rFonts w:ascii="Trebuchet MS" w:cs="Trebuchet MS" w:eastAsia="Trebuchet MS" w:hAnsi="Trebuchet MS"/>
                <w:b/>
                <w:bCs/>
                <w:color w:val="8A5A00"/>
                <w:sz w:val="21"/>
                <w:szCs w:val="21"/>
              </w:rPr>
              <w:t xml:space="preserve">⚠️  Why Miscommunication Happens</w:t>
            </w:r>
          </w:p>
          <w:p>
            <w:pPr>
              <w:spacing w:after="120"/>
            </w:pPr>
            <w:r>
              <w:rPr>
                <w:rFonts w:ascii="Trebuchet MS" w:cs="Trebuchet MS" w:eastAsia="Trebuchet MS" w:hAnsi="Trebuchet MS"/>
                <w:sz w:val="21"/>
                <w:szCs w:val="21"/>
              </w:rPr>
              <w:t xml:space="preserve">Can lead to: delays, incorrect features being built, increased costs, frustrated clients and users.</w:t>
            </w:r>
          </w:p>
          <w:p>
            <w:pPr>
              <w:spacing w:after="120"/>
            </w:pPr>
            <w:r>
              <w:rPr>
                <w:rFonts w:ascii="Trebuchet MS" w:cs="Trebuchet MS" w:eastAsia="Trebuchet MS" w:hAnsi="Trebuchet MS"/>
                <w:sz w:val="21"/>
                <w:szCs w:val="21"/>
              </w:rPr>
              <w:t xml:space="preserve">Common causes: unclear requirements, too much technical jargon, poor listening, not confirming understanding.</w:t>
            </w:r>
          </w:p>
          <w:p>
            <w:pPr>
              <w:spacing w:after="120"/>
            </w:pPr>
            <w:r>
              <w:rPr>
                <w:rFonts w:ascii="Trebuchet MS" w:cs="Trebuchet MS" w:eastAsia="Trebuchet MS" w:hAnsi="Trebuchet MS"/>
                <w:sz w:val="21"/>
                <w:szCs w:val="21"/>
              </w:rPr>
              <w:t xml:space="preserve">Good developers confirm information by: repeating key points, summarising decisions, asking questions, writing down agreed outcomes.</w:t>
            </w:r>
          </w:p>
        </w:tc>
      </w:tr>
    </w:tbl>
    <w:p>
      <w:pPr>
        <w:spacing w:after="240"/>
      </w:pPr>
    </w:p>
    <w:p>
      <w:pPr>
        <w:spacing w:after="100" w:before="160"/>
      </w:pPr>
      <w:r>
        <w:rPr>
          <w:rFonts w:ascii="Trebuchet MS" w:cs="Trebuchet MS" w:eastAsia="Trebuchet MS" w:hAnsi="Trebuchet MS"/>
          <w:b/>
          <w:bCs/>
          <w:sz w:val="21"/>
          <w:szCs w:val="21"/>
        </w:rPr>
        <w:t xml:space="preserve">Death by PowerPoint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5 minutes</w:t>
            </w:r>
          </w:p>
          <w:p>
            <w:pPr>
              <w:spacing w:after="120"/>
            </w:pPr>
            <w:r>
              <w:rPr>
                <w:rFonts w:ascii="Trebuchet MS" w:cs="Trebuchet MS" w:eastAsia="Trebuchet MS" w:hAnsi="Trebuchet MS"/>
                <w:sz w:val="21"/>
                <w:szCs w:val="21"/>
              </w:rPr>
              <w:t xml:space="preserve">Research the incident that affected Space Shuttle Mission STS-107 on February 1st 2003. What was the technical problem? What was the communication problem?</w:t>
            </w:r>
          </w:p>
        </w:tc>
      </w:tr>
    </w:tbl>
    <w:p>
      <w:pPr>
        <w:spacing w:after="120"/>
      </w:pPr>
      <w:r>
        <w:rPr>
          <w:rFonts w:ascii="Trebuchet MS" w:cs="Trebuchet MS" w:eastAsia="Trebuchet MS" w:hAnsi="Trebuchet MS"/>
          <w:sz w:val="21"/>
          <w:szCs w:val="21"/>
        </w:rPr>
        <w:t xml:space="preserve">Technical problem:</w:t>
      </w:r>
    </w:p>
    <w:p>
      <w:pPr>
        <w:spacing w:after="120"/>
      </w:pPr>
    </w:p>
    <w:p>
      <w:pPr>
        <w:spacing w:after="120"/>
      </w:pPr>
      <w:r>
        <w:rPr>
          <w:rFonts w:ascii="Trebuchet MS" w:cs="Trebuchet MS" w:eastAsia="Trebuchet MS" w:hAnsi="Trebuchet MS"/>
          <w:sz w:val="21"/>
          <w:szCs w:val="21"/>
        </w:rPr>
        <w:t xml:space="preserve">Communication problem:</w:t>
      </w:r>
    </w:p>
    <w:p>
      <w:pPr>
        <w:spacing w:after="160"/>
      </w:pPr>
    </w:p>
    <w:p>
      <w:pPr>
        <w:spacing w:after="100" w:before="160"/>
      </w:pPr>
      <w:r>
        <w:rPr>
          <w:rFonts w:ascii="Trebuchet MS" w:cs="Trebuchet MS" w:eastAsia="Trebuchet MS" w:hAnsi="Trebuchet MS"/>
          <w:b/>
          <w:bCs/>
          <w:sz w:val="21"/>
          <w:szCs w:val="21"/>
        </w:rPr>
        <w:t xml:space="preserve">Mini Practical — Rewrite for a Different Audience</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independent, 15 minutes</w:t>
            </w:r>
          </w:p>
          <w:p>
            <w:pPr>
              <w:spacing w:after="120"/>
            </w:pPr>
            <w:r>
              <w:rPr>
                <w:rFonts w:ascii="Trebuchet MS" w:cs="Trebuchet MS" w:eastAsia="Trebuchet MS" w:hAnsi="Trebuchet MS"/>
                <w:sz w:val="21"/>
                <w:szCs w:val="21"/>
              </w:rPr>
              <w:t xml:space="preserve">Technical explanation: ‘The application experienced a database timeout caused by inefficient queries during high traffic. We need to optimise the SQL queries and implement caching to prevent further performance issues.’</w:t>
            </w:r>
          </w:p>
          <w:p>
            <w:pPr>
              <w:spacing w:after="120"/>
            </w:pPr>
            <w:r>
              <w:rPr>
                <w:rFonts w:ascii="Trebuchet MS" w:cs="Trebuchet MS" w:eastAsia="Trebuchet MS" w:hAnsi="Trebuchet MS"/>
                <w:sz w:val="21"/>
                <w:szCs w:val="21"/>
              </w:rPr>
              <w:t xml:space="preserve">Rewrite this paragraph so it is suitable for a non-technical audience (a client, a manager, a parent). Your explanation should: keep the same meaning, remove or explain technical jargon, be clear and easy to understand.</w:t>
            </w:r>
          </w:p>
        </w:tc>
      </w:tr>
    </w:tbl>
    <w:p>
      <w:pPr>
        <w:spacing w:after="120"/>
      </w:pPr>
      <w:r>
        <w:rPr>
          <w:rFonts w:ascii="Trebuchet MS" w:cs="Trebuchet MS" w:eastAsia="Trebuchet MS" w:hAnsi="Trebuchet MS"/>
          <w:sz w:val="21"/>
          <w:szCs w:val="21"/>
        </w:rPr>
        <w:t xml:space="preserve">My rewrite:</w:t>
      </w:r>
    </w:p>
    <w:p>
      <w:pPr>
        <w:spacing w:after="220"/>
      </w:pPr>
    </w:p>
    <w:p>
      <w:pPr>
        <w:spacing w:after="100" w:before="160"/>
      </w:pPr>
      <w:r>
        <w:rPr>
          <w:rFonts w:ascii="Trebuchet MS" w:cs="Trebuchet MS" w:eastAsia="Trebuchet MS" w:hAnsi="Trebuchet MS"/>
          <w:b/>
          <w:bCs/>
          <w:sz w:val="21"/>
          <w:szCs w:val="21"/>
        </w:rPr>
        <w:t xml:space="preserve">Activity — Communication Role Play</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W w:type="dxa" w:w="9746"/>
            <w:tcBorders>
              <w:top w:val="single" w:color="CCCCCC" w:sz="4"/>
              <w:left w:val="single" w:color="CCCCCC" w:sz="4"/>
              <w:bottom w:val="single" w:color="CCCCCC" w:sz="4"/>
              <w:right w:val="single" w:color="CCCCCC" w:sz="4"/>
            </w:tcBorders>
            <w:shd w:fill="E4F2F1" w:val="clear"/>
            <w:tcMar>
              <w:top w:type="dxa" w:w="160"/>
              <w:left w:type="dxa" w:w="200"/>
              <w:bottom w:type="dxa" w:w="160"/>
              <w:right w:type="dxa" w:w="200"/>
            </w:tcMar>
          </w:tcPr>
          <w:p>
            <w:pPr>
              <w:spacing w:after="100"/>
            </w:pPr>
            <w:r>
              <w:rPr>
                <w:rFonts w:ascii="Trebuchet MS" w:cs="Trebuchet MS" w:eastAsia="Trebuchet MS" w:hAnsi="Trebuchet MS"/>
                <w:b/>
                <w:bCs/>
                <w:color w:val="1F6F6B"/>
                <w:sz w:val="21"/>
                <w:szCs w:val="21"/>
              </w:rPr>
              <w:t xml:space="preserve">🎯  Task focus — pairs or small groups, 20 minutes</w:t>
            </w:r>
          </w:p>
          <w:p>
            <w:pPr>
              <w:spacing w:after="120"/>
            </w:pPr>
            <w:r>
              <w:rPr>
                <w:rFonts w:ascii="Trebuchet MS" w:cs="Trebuchet MS" w:eastAsia="Trebuchet MS" w:hAnsi="Trebuchet MS"/>
                <w:sz w:val="21"/>
                <w:szCs w:val="21"/>
              </w:rPr>
              <w:t xml:space="preserve">Scenario: a developer must explain a delay in completing a feature, adapted for different audiences.</w:t>
            </w:r>
          </w:p>
          <w:p>
            <w:pPr>
              <w:spacing w:after="120"/>
            </w:pPr>
            <w:r>
              <w:rPr>
                <w:rFonts w:ascii="Trebuchet MS" w:cs="Trebuchet MS" w:eastAsia="Trebuchet MS" w:hAnsi="Trebuchet MS"/>
                <w:sz w:val="21"/>
                <w:szCs w:val="21"/>
              </w:rPr>
              <w:t xml:space="preserve">Prepare how you would communicate the delay to each person below. Consider: level of technical detail, use of jargon, tone and clarity.</w:t>
            </w:r>
          </w:p>
        </w:tc>
      </w:tr>
    </w:tbl>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1800"/>
        <w:gridCol w:w="3973"/>
        <w:gridCol w:w="3973"/>
      </w:tblGrid>
      <w:tr>
        <w:trPr>
          <w:tblHeader/>
        </w:trPr>
        <w:tc>
          <w:tcPr>
            <w:tcW w:type="dxa" w:w="18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Audience</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Key Points to Communicate</w:t>
            </w:r>
          </w:p>
        </w:tc>
        <w:tc>
          <w:tcPr>
            <w:tcW w:type="dxa" w:w="39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How will you adapt the explanation?</w:t>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Project Manager</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Client</w:t>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18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Junior Developer</w:t>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c>
          <w:tcPr>
            <w:tcW w:type="dxa" w:w="39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00"/>
      </w:pP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4873"/>
        <w:gridCol w:w="4873"/>
      </w:tblGrid>
      <w:tr>
        <w:trPr>
          <w:tblHeader/>
        </w:trPr>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Evaluation Criteria</w:t>
            </w:r>
          </w:p>
        </w:tc>
        <w:tc>
          <w:tcPr>
            <w:tcW w:type="dxa" w:w="4873"/>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Notes</w:t>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Was the explanation clear?</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Was the language appropriate for the audience?</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Was technical jargon used appropriately?</w:t>
            </w:r>
          </w:p>
        </w:tc>
        <w:tc>
          <w:tcPr>
            <w:tcW w:type="dxa" w:w="4873"/>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r>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Did the explanation address the delay clearly?</w:t>
            </w:r>
          </w:p>
        </w:tc>
        <w:tc>
          <w:tcPr>
            <w:tcW w:type="dxa" w:w="4873"/>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
            </w:r>
          </w:p>
        </w:tc>
      </w:tr>
    </w:tbl>
    <w:p>
      <w:pPr>
        <w:spacing w:after="240"/>
      </w:pPr>
    </w:p>
    <w:p>
      <w:pPr>
        <w:spacing w:after="100" w:before="160"/>
      </w:pPr>
      <w:r>
        <w:rPr>
          <w:rFonts w:ascii="Trebuchet MS" w:cs="Trebuchet MS" w:eastAsia="Trebuchet MS" w:hAnsi="Trebuchet MS"/>
          <w:b/>
          <w:bCs/>
          <w:sz w:val="21"/>
          <w:szCs w:val="21"/>
        </w:rPr>
        <w:t xml:space="preserve">Reflect</w:t>
      </w:r>
    </w:p>
    <w:p>
      <w:pPr>
        <w:spacing w:after="120"/>
      </w:pPr>
      <w:r>
        <w:rPr>
          <w:rFonts w:ascii="Trebuchet MS" w:cs="Trebuchet MS" w:eastAsia="Trebuchet MS" w:hAnsi="Trebuchet MS"/>
          <w:b/>
          <w:bCs/>
          <w:sz w:val="21"/>
          <w:szCs w:val="21"/>
        </w:rPr>
        <w:t xml:space="preserve">1. Why is it important to adapt communication for different audiences?</w:t>
      </w:r>
    </w:p>
    <w:p>
      <w:pPr>
        <w:spacing w:after="140"/>
      </w:pPr>
    </w:p>
    <w:p>
      <w:pPr>
        <w:spacing w:after="120"/>
      </w:pPr>
      <w:r>
        <w:rPr>
          <w:rFonts w:ascii="Trebuchet MS" w:cs="Trebuchet MS" w:eastAsia="Trebuchet MS" w:hAnsi="Trebuchet MS"/>
          <w:b/>
          <w:bCs/>
          <w:sz w:val="21"/>
          <w:szCs w:val="21"/>
        </w:rPr>
        <w:t xml:space="preserve">2. How does active listening help prevent misunderstandings?</w:t>
      </w:r>
    </w:p>
    <w:p>
      <w:pPr>
        <w:spacing w:after="140"/>
      </w:pPr>
    </w:p>
    <w:p>
      <w:pPr>
        <w:spacing w:after="120"/>
      </w:pPr>
      <w:r>
        <w:rPr>
          <w:rFonts w:ascii="Trebuchet MS" w:cs="Trebuchet MS" w:eastAsia="Trebuchet MS" w:hAnsi="Trebuchet MS"/>
          <w:b/>
          <w:bCs/>
          <w:sz w:val="21"/>
          <w:szCs w:val="21"/>
        </w:rPr>
        <w:t xml:space="preserve">3. Give one example of how technical jargon could confuse a client.</w:t>
      </w:r>
    </w:p>
    <w:p>
      <w:pPr>
        <w:spacing w:after="140"/>
      </w:pPr>
    </w:p>
    <w:p>
      <w:pPr>
        <w:spacing w:after="120"/>
      </w:pPr>
      <w:r>
        <w:rPr>
          <w:rFonts w:ascii="Trebuchet MS" w:cs="Trebuchet MS" w:eastAsia="Trebuchet MS" w:hAnsi="Trebuchet MS"/>
          <w:b/>
          <w:bCs/>
          <w:sz w:val="21"/>
          <w:szCs w:val="21"/>
        </w:rPr>
        <w:t xml:space="preserve">4. What strategies can developers use to confirm they have understood something correctly?</w:t>
      </w:r>
    </w:p>
    <w:p>
      <w:pPr>
        <w:spacing w:after="140"/>
      </w:pPr>
    </w:p>
    <w:p>
      <w:pPr>
        <w:spacing w:after="100" w:before="160"/>
      </w:pPr>
      <w:r>
        <w:rPr>
          <w:rFonts w:ascii="Trebuchet MS" w:cs="Trebuchet MS" w:eastAsia="Trebuchet MS" w:hAnsi="Trebuchet MS"/>
          <w:b/>
          <w:bCs/>
          <w:sz w:val="21"/>
          <w:szCs w:val="21"/>
        </w:rPr>
        <w:t xml:space="preserve">Revision Checklist — Can I...?</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Choose an appropriate communication method for a given situation.</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the difference between a technical and non-technical audience.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Rewrite a technical explanation for a non-technical audience.</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what active listening involves.</w:t>
      </w:r>
    </w:p>
    <w:p>
      <w:pPr>
        <w:spacing w:after="100"/>
      </w:pPr>
      <w:r>
        <w:rPr>
          <w:rFonts w:ascii="Trebuchet MS" w:cs="Trebuchet MS" w:eastAsia="Trebuchet MS" w:hAnsi="Trebuchet MS"/>
          <w:b/>
          <w:bCs/>
          <w:sz w:val="21"/>
          <w:szCs w:val="21"/>
        </w:rPr>
        <w:t xml:space="preserve">☐  </w:t>
      </w:r>
      <w:r>
        <w:rPr>
          <w:rFonts w:ascii="Trebuchet MS" w:cs="Trebuchet MS" w:eastAsia="Trebuchet MS" w:hAnsi="Trebuchet MS"/>
          <w:sz w:val="21"/>
          <w:szCs w:val="21"/>
        </w:rPr>
        <w:t xml:space="preserve">Explain at least two causes of miscommunication in development teams.</w:t>
      </w:r>
    </w:p>
    <w:p>
      <w:pPr>
        <w:spacing w:after="240"/>
      </w:pPr>
    </w:p>
    <w:p>
      <w:pPr>
        <w:spacing w:after="100" w:before="160"/>
      </w:pPr>
      <w:r>
        <w:rPr>
          <w:rFonts w:ascii="Trebuchet MS" w:cs="Trebuchet MS" w:eastAsia="Trebuchet MS" w:hAnsi="Trebuchet MS"/>
          <w:b/>
          <w:bCs/>
          <w:sz w:val="21"/>
          <w:szCs w:val="21"/>
        </w:rPr>
        <w:t xml:space="preserve">Portfolio Evidence Checklist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900"/>
        <w:gridCol w:w="8846"/>
      </w:tblGrid>
      <w:tr>
        <w:trPr>
          <w:tblHeader/>
        </w:trPr>
        <w:tc>
          <w:tcPr>
            <w:tcW w:type="dxa" w:w="900"/>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w:t>
            </w:r>
          </w:p>
        </w:tc>
        <w:tc>
          <w:tcPr>
            <w:tcW w:type="dxa" w:w="8846"/>
            <w:tcBorders>
              <w:top w:val="single" w:color="CCCCCC" w:sz="4"/>
              <w:left w:val="single" w:color="CCCCCC" w:sz="4"/>
              <w:bottom w:val="single" w:color="CCCCCC" w:sz="4"/>
              <w:right w:val="single" w:color="CCCCCC" w:sz="4"/>
            </w:tcBorders>
            <w:shd w:fill="4B2E7E" w:val="clear"/>
            <w:tcMar>
              <w:top w:type="dxa" w:w="100"/>
              <w:left w:type="dxa" w:w="150"/>
              <w:bottom w:type="dxa" w:w="100"/>
              <w:right w:type="dxa" w:w="150"/>
            </w:tcMar>
            <w:vAlign w:val="center"/>
          </w:tcPr>
          <w:p>
            <w:r>
              <w:rPr>
                <w:rFonts w:ascii="Trebuchet MS" w:cs="Trebuchet MS" w:eastAsia="Trebuchet MS" w:hAnsi="Trebuchet MS"/>
                <w:b/>
                <w:bCs/>
                <w:color w:val="FFFFFF"/>
                <w:sz w:val="18"/>
                <w:szCs w:val="18"/>
              </w:rPr>
              <w:t xml:space="preserve">Evidence item</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Completed Key Vocabulary table, all 8 terms defined accurately.</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Scenario matching starter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STS-107 research, technical and communication problems noted.</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Mini practical rewrite completed.</w:t>
            </w:r>
          </w:p>
        </w:tc>
      </w:tr>
      <w:tr>
        <w:tc>
          <w:tcPr>
            <w:tcW w:type="dxa" w:w="900"/>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FFFFF"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Role play task completed for all three audiences with evaluation.</w:t>
            </w:r>
          </w:p>
        </w:tc>
      </w:tr>
      <w:tr>
        <w:tc>
          <w:tcPr>
            <w:tcW w:type="dxa" w:w="900"/>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w:t>
            </w:r>
          </w:p>
        </w:tc>
        <w:tc>
          <w:tcPr>
            <w:tcW w:type="dxa" w:w="8846"/>
            <w:tcBorders>
              <w:top w:val="single" w:color="CCCCCC" w:sz="4"/>
              <w:left w:val="single" w:color="CCCCCC" w:sz="4"/>
              <w:bottom w:val="single" w:color="CCCCCC" w:sz="4"/>
              <w:right w:val="single" w:color="CCCCCC" w:sz="4"/>
            </w:tcBorders>
            <w:shd w:fill="F2F2F2" w:val="clear"/>
            <w:tcMar>
              <w:top w:type="dxa" w:w="100"/>
              <w:left w:type="dxa" w:w="150"/>
              <w:bottom w:type="dxa" w:w="100"/>
              <w:right w:type="dxa" w:w="150"/>
            </w:tcMar>
          </w:tcPr>
          <w:p>
            <w:pPr>
              <w:spacing w:after="60"/>
            </w:pPr>
            <w:r>
              <w:rPr>
                <w:rFonts w:ascii="Trebuchet MS" w:cs="Trebuchet MS" w:eastAsia="Trebuchet MS" w:hAnsi="Trebuchet MS"/>
                <w:sz w:val="18"/>
                <w:szCs w:val="18"/>
              </w:rPr>
              <w:t xml:space="preserve">Reflect questions answered.</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cs="Trebuchet MS" w:eastAsia="Trebuchet MS" w:hAnsi="Trebuchet M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2026-07-25T09:39:58.643Z</dcterms:created>
  <dcterms:modified xsi:type="dcterms:W3CDTF">2026-07-25T09:39:58.644Z</dcterms:modified>
</cp:coreProperties>
</file>

<file path=docProps/custom.xml><?xml version="1.0" encoding="utf-8"?>
<Properties xmlns="http://schemas.openxmlformats.org/officeDocument/2006/custom-properties" xmlns:vt="http://schemas.openxmlformats.org/officeDocument/2006/docPropsVTypes"/>
</file>